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แบบประเมินประสิทธิภาพและประสิทธิผลการปฏิบัติราชการ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554A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 ........................................................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165820" w:rsidRPr="009062DE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8"/>
        <w:tblW w:w="1984" w:type="dxa"/>
        <w:tblInd w:w="7105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333"/>
        <w:gridCol w:w="957"/>
        <w:gridCol w:w="957"/>
        <w:gridCol w:w="4960"/>
      </w:tblGrid>
      <w:tr w:rsidR="00165820" w:rsidRPr="009062DE" w:rsidTr="00165820">
        <w:tc>
          <w:tcPr>
            <w:tcW w:w="333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c>
          <w:tcPr>
            <w:tcW w:w="3333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ข้อบัญญัติ/เทศบัญญัติ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26665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0" w:type="dxa"/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A07C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AB5DD8" wp14:editId="403C1AC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D40B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DC5966" wp14:editId="0C5E89B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2631959" id="AutoShape 147" o:spid="_x0000_s1026" type="#_x0000_t32" style="position:absolute;margin-left:80.5pt;margin-top:15.9pt;width:41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V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fwgTGowrILBSWxt6pEf1ap41/e6Q0lVHVMtj+NvJQHYWMpJ3KeHiDNTZDV80gxgC&#10;FeK4jo3tAyQMAh3jVk63rfCjRxQ+TiezPJt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C8VlRz3QAAAAkBAAAPAAAAZHJzL2Rvd25yZXYueG1sTI/BTsMw&#10;EETvSPyDtUhcEHWSQkVDnKpC4sCRthLXbbwkgXgdxU4T+vUs4gDHmR3Nzis2s+vUiYbQejaQLhJQ&#10;xJW3LdcGDvvn2wdQISJb7DyTgS8KsCkvLwrMrZ/4lU67WCsp4ZCjgSbGPtc6VA05DAvfE8vt3Q8O&#10;o8ih1nbAScpdp7MkWWmHLcuHBnt6aqj63I3OAIXxPk22a1cfXs7TzVt2/pj6vTHXV/P2EVSkOf6F&#10;4We+TIdSNh39yDaoTvQqFZZoYJkKggSyu+Ua1PHX0GWh/xOU3wAAAP//AwBQSwECLQAUAAYACAAA&#10;ACEAtoM4kv4AAADhAQAAEwAAAAAAAAAAAAAAAAAAAAAAW0NvbnRlbnRfVHlwZXNdLnhtbFBLAQIt&#10;ABQABgAIAAAAIQA4/SH/1gAAAJQBAAALAAAAAAAAAAAAAAAAAC8BAABfcmVscy8ucmVsc1BLAQIt&#10;ABQABgAIAAAAIQC+hQVxIAIAAD0EAAAOAAAAAAAAAAAAAAAAAC4CAABkcnMvZTJvRG9jLnhtbFBL&#10;AQItABQABgAIAAAAIQC8VlRz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165820" w:rsidRPr="009062DE" w:rsidRDefault="00165820" w:rsidP="00EE053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 w:rsidRPr="00165820"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vAlign w:val="center"/>
          </w:tcPr>
          <w:p w:rsidR="00165820" w:rsidRPr="009062DE" w:rsidRDefault="00165820" w:rsidP="00165820">
            <w:pPr>
              <w:ind w:firstLine="34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B31FD7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165820" w:rsidRPr="006B2833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D67F16" wp14:editId="3CD632A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72D932B" id="AutoShape 148" o:spid="_x0000_s1026" type="#_x0000_t32" style="position:absolute;margin-left:48pt;margin-top:17pt;width:133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ic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l2cJPaNA2h8BS7ozvkZ7kq35W9LtFUpUtkQ0P4W9nDdmJz4jepfiL1VBnP3xRDGII&#10;VAjjOtWm95AwCHQKWznftsJPDlH4mMyXafoww4i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JeBKJw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620B56" wp14:editId="4C598D7A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04C9DE9" id="AutoShape 149" o:spid="_x0000_s1026" type="#_x0000_t32" style="position:absolute;margin-left:97.6pt;margin-top:16.7pt;width:49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t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zZd+Q4O2BQRWcmf8jOQkX/WLIt8tkqrqsGxZCH87a8hOfUb8LsVfrIY6++GzohCD&#10;oUJY16kxvYeERaBTYOV8Y4WdHCLwcZ49PiyAOzK6YlyMedpY94mpHnmjjKwzmLedq5SUQL0yaaiC&#10;jy/W+a5wMSb4olJtuRBBAUKioYyWs2wWEqwSnHqnD7Om3VfCoCP2Ggq/MCJ47sOMOkgawDqG6eZq&#10;O8zFxYbiQno8mAvauVoXkfxYJsvNYrPIJ3k230zypK4nz9sqn8y36eOsfqirqk5/+tbSvOg4pUz6&#10;7kbBpvnfCeL6dC5Su0n2tob4PXrYFzQ7/oemA7Gey4sq9oqed2YkHDQagq/vyT+C+zvY969+/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K4Tki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165820" w:rsidRPr="009062DE" w:rsidRDefault="00165820" w:rsidP="00EE053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rPr>
          <w:trHeight w:val="4418"/>
        </w:trPr>
        <w:tc>
          <w:tcPr>
            <w:tcW w:w="34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ไม่รวมงบประมาณรายจ่ายเพิ่มเติม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9553BF" wp14:editId="55BA80C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BFE76E" id="AutoShape 150" o:spid="_x0000_s1026" type="#_x0000_t32" style="position:absolute;margin-left:28.9pt;margin-top:17.85pt;width:18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00  บาท  ณ วันที่ 30  กันยายน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256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EA590E" wp14:editId="2F677256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27D0407" id="AutoShape 151" o:spid="_x0000_s1026" type="#_x0000_t32" style="position:absolute;margin-left:81.65pt;margin-top:16.4pt;width:76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B31FD7" w:rsidRPr="00B31FD7" w:rsidRDefault="00B31FD7" w:rsidP="00B31FD7">
      <w:pPr>
        <w:jc w:val="right"/>
        <w:rPr>
          <w:rFonts w:ascii="TH SarabunPSK" w:hAnsi="TH SarabunPSK" w:cs="TH SarabunPSK"/>
          <w:sz w:val="32"/>
          <w:szCs w:val="32"/>
        </w:rPr>
      </w:pPr>
      <w:r w:rsidRPr="00B31FD7">
        <w:rPr>
          <w:rFonts w:ascii="TH SarabunPSK" w:hAnsi="TH SarabunPSK" w:cs="TH SarabunPSK"/>
          <w:sz w:val="32"/>
          <w:szCs w:val="32"/>
        </w:rPr>
        <w:lastRenderedPageBreak/>
        <w:t>4</w:t>
      </w:r>
    </w:p>
    <w:tbl>
      <w:tblPr>
        <w:tblStyle w:val="a8"/>
        <w:tblW w:w="0" w:type="auto"/>
        <w:tblInd w:w="-604" w:type="dxa"/>
        <w:tblLook w:val="04A0" w:firstRow="1" w:lastRow="0" w:firstColumn="1" w:lastColumn="0" w:noHBand="0" w:noVBand="1"/>
      </w:tblPr>
      <w:tblGrid>
        <w:gridCol w:w="3234"/>
        <w:gridCol w:w="1022"/>
        <w:gridCol w:w="992"/>
        <w:gridCol w:w="4786"/>
      </w:tblGrid>
      <w:tr w:rsidR="00165820" w:rsidRPr="009062DE" w:rsidTr="004C096D">
        <w:tc>
          <w:tcPr>
            <w:tcW w:w="32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2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4C096D">
        <w:tblPrEx>
          <w:jc w:val="right"/>
        </w:tblPrEx>
        <w:trPr>
          <w:trHeight w:val="6239"/>
          <w:jc w:val="right"/>
        </w:trPr>
        <w:tc>
          <w:tcPr>
            <w:tcW w:w="323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จำนวนโครงการ/กิจกรรมที่บูรณาการร่วมกับ อปท.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หรือดำเนินการร่วมกับ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โดยต้องมีเนื้องานเป็นของ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การประณีประนอม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165820" w:rsidRPr="009062DE" w:rsidRDefault="00165820" w:rsidP="00B31FD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</w:tr>
      <w:tr w:rsidR="00165820" w:rsidRPr="009062DE" w:rsidTr="004C096D">
        <w:tblPrEx>
          <w:jc w:val="right"/>
        </w:tblPrEx>
        <w:trPr>
          <w:trHeight w:val="5817"/>
          <w:jc w:val="right"/>
        </w:trPr>
        <w:tc>
          <w:tcPr>
            <w:tcW w:w="323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C096D" w:rsidRPr="004C096D" w:rsidRDefault="004C096D" w:rsidP="004C096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E335FF" w:rsidTr="00CD15CB">
        <w:tblPrEx>
          <w:jc w:val="right"/>
        </w:tblPrEx>
        <w:trPr>
          <w:jc w:val="right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165820" w:rsidRPr="00E335FF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44713" w:rsidRDefault="00A44713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373"/>
        <w:gridCol w:w="436"/>
      </w:tblGrid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786"/>
        <w:gridCol w:w="958"/>
        <w:gridCol w:w="959"/>
        <w:gridCol w:w="4328"/>
      </w:tblGrid>
      <w:tr w:rsidR="00165820" w:rsidRPr="009062DE" w:rsidTr="00CD15CB">
        <w:tc>
          <w:tcPr>
            <w:tcW w:w="3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c>
          <w:tcPr>
            <w:tcW w:w="3786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8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8" w:type="dxa"/>
          </w:tcPr>
          <w:p w:rsidR="00165820" w:rsidRPr="009062DE" w:rsidRDefault="00A44713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ประเมินผลจากข้อมูล </w: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พิจารณาจากผลสำรวจความพึงพอใจของประชาชน เจ้าหน้าที่ของรัฐ 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หน่วยงานเอกชนที่มารับบริการหรือติดต่อองค์กรปกครองส่วนท้องถิ่นที่ขอรับการประเมิน โดย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งาน เช่น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งานด้านบริการกฎหมาย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A44713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</w:t>
            </w:r>
          </w:p>
          <w:p w:rsidR="00165820" w:rsidRPr="009062DE" w:rsidRDefault="00165820" w:rsidP="00A44713">
            <w:pPr>
              <w:pStyle w:val="a5"/>
              <w:ind w:left="645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สาธารณภัย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165820" w:rsidRPr="009062DE" w:rsidRDefault="00165820" w:rsidP="0016582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แต่ละงาน อย่างน้อยต้องมีการกำหนดกรอบงานที่จะประเมินประกอบด้วย  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หนังสือรับรองผลสรุปคะแนนการประเมินความพึงพอใจจากสถาบันการศึกษา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แบบสำรวจความพึงพอใจที่ใช้ในการประเมิน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สถานที่ เอกสาร หรือหลักฐานที่แสดงถึงความพึงพอใจ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ตัวอย่างบุคคลที่มีความพึงพอใจต่อการให้บริการสาธารณะ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30"/>
        <w:gridCol w:w="957"/>
        <w:gridCol w:w="957"/>
        <w:gridCol w:w="4287"/>
      </w:tblGrid>
      <w:tr w:rsidR="00165820" w:rsidRPr="009062DE" w:rsidTr="00CD15CB">
        <w:tc>
          <w:tcPr>
            <w:tcW w:w="383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5269"/>
        </w:trPr>
        <w:tc>
          <w:tcPr>
            <w:tcW w:w="383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02112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9A17A6" wp14:editId="6889FCF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1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21B75C" id="AutoShape 152" o:spid="_x0000_s1026" type="#_x0000_t32" style="position:absolute;margin-left:30.2pt;margin-top:15.55pt;width:160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TQ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Seeo3NGibQ2Apd8bPSE/yVT8r+t0iqcqWyIaH8LezhuzEZ0TvUvzFaqizH74oBjEE&#10;KoR1nWrTe0hYBDoFVs43VvjJIQof03i2mM2BPDr6IpKPidpY95mrHnmjwNYZIprWlUpK4F6ZJJQh&#10;x2frfFskHxN8Vam2ouuCBDqJhgIv5+k8JFjVCeadPsyaZl92Bh2JF1H4hRnBcx9m1EGyANZywjZX&#10;2xHRXWwo3kmPB4NBO1fropIfy3i5WWwW2SRLHzaTLK6qydO2zCYP2+TTvJpVZVklP31rSZa3gjEu&#10;fXejYpPs7xRxfTsXrd00e1tD9B497AuaHf9D04FZT+ZFFnvFzjszMg4iDcHXB+Vfwf0d7Ptn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K+ShNAgAgAAPg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ส่วนท้องถิ่นได้กำหนดประเมินความพึงพอใจ 4 งานได้แก่ งานทะเบียน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งานขออนุญาตปลูกสิ่งก่อสร้าง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งานด้านสิ่งแวดล้อมและสุขาภิบาล และงานด้าน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กษาความสะอาดในที่สาธารณะโดย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ถาบันการศึกษา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ได้ประเมินความพึงพอใจแล้วปรากฏว่า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B987E4" wp14:editId="389EDD3E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76D7728" id="AutoShape 153" o:spid="_x0000_s1026" type="#_x0000_t32" style="position:absolute;margin-left:102.2pt;margin-top:17.8pt;width:1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R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+hA2NBhXQGCltjbMSI/q1bxo+t0hpauOqJbH8LeTgewsZCTvUsLFGaizGz5rBjEE&#10;KsR1HRvbB0hYBDpGVk43VvjRIwofJ/njbAr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AjPQo73QAAAAkBAAAPAAAAZHJzL2Rvd25yZXYueG1sTI/BTsMw&#10;DIbvSLxDZCQuiCXruomVptOExIEj2ySuWeO1hcapmnQte3qMOIyjf3/6/TnfTK4VZ+xD40nDfKZA&#10;IJXeNlRpOOxfH59AhGjImtYTavjGAJvi9iY3mfUjveN5FyvBJRQyo6GOscukDGWNzoSZ75B4d/K9&#10;M5HHvpK2NyOXu1YmSq2kMw3xhdp0+FJj+bUbnAYMw3KutmtXHd4u48NHcvkcu73W93fT9hlExCle&#10;YfjVZ3Uo2OnoB7JBtBoSlaaMalgsVyAYSNIFB8e/QBa5/P9B8QMAAP//AwBQSwECLQAUAAYACAAA&#10;ACEAtoM4kv4AAADhAQAAEwAAAAAAAAAAAAAAAAAAAAAAW0NvbnRlbnRfVHlwZXNdLnhtbFBLAQIt&#10;ABQABgAIAAAAIQA4/SH/1gAAAJQBAAALAAAAAAAAAAAAAAAAAC8BAABfcmVscy8ucmVsc1BLAQIt&#10;ABQABgAIAAAAIQCUCPRpIAIAAD0EAAAOAAAAAAAAAAAAAAAAAC4CAABkcnMvZTJvRG9jLnhtbFBL&#10;AQItABQABgAIAAAAIQAjPQo7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73.75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165820" w:rsidRPr="009062DE" w:rsidTr="00CD15CB">
        <w:trPr>
          <w:trHeight w:val="214"/>
        </w:trPr>
        <w:tc>
          <w:tcPr>
            <w:tcW w:w="383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การบริการประชาชนในวันหยุดราชการหรือนอกเวลาราชการ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วั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นหยุดราชการ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คำสั่งให้ปฏิบัติหน้าที่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ประกาศประชาสัมพันธ์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แบบคำร้องยื่นเรื่องต่างๆ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ฎีกาเบิกจ่ายงบประมาณ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ส่วนท้องถิ่นเปิดให้บริการในวันหยุดราชการ 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เฉพาะวันเสาร์  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มกราคม 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เป็นต้นไป เฉพาะงานทะเบียนเท่านั้น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09"/>
        <w:gridCol w:w="959"/>
        <w:gridCol w:w="960"/>
        <w:gridCol w:w="4303"/>
      </w:tblGrid>
      <w:tr w:rsidR="00165820" w:rsidRPr="009062DE" w:rsidTr="00CD15CB">
        <w:tc>
          <w:tcPr>
            <w:tcW w:w="380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9411"/>
        </w:trPr>
        <w:tc>
          <w:tcPr>
            <w:tcW w:w="380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การเปิดเผยข้อมูลข่าวสารให้แก่ประชาชนทราบ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พิจารณาจากการเผยแพร่ข้อมูลข่าวสาร หรือ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สื่อประชาสัมพันธ์ทางจอภาพดิจิตอล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เอกสารสิ่งพิมพ์  แผ่นพับ ป้ายโปสเตอร์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การประชาพิจารณ์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การเผยแพร่ผ่านวิทยุ โทรทัศน์ เสียงตามสาย นสพ.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การจัดงานแถลงข่าว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องค์กรปกครองส่วนท้องถิ่นได้เผยแพร่ข้อมูลข่าวสารของหน่วยงานให้ประชาชนได้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ทราบอย่างทั่วถึง และเป็นประจำผ่านช่องทาง ได้แก่ ทางเว็บไซด์หน่วยงาน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 และเสียง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ตามสาย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165820" w:rsidRPr="009062DE" w:rsidTr="00CD15CB">
        <w:trPr>
          <w:trHeight w:val="340"/>
        </w:trPr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ศูนย์รับเรื่องร้องทุกข์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สายด่วน</w:t>
            </w:r>
          </w:p>
          <w:p w:rsidR="00165820" w:rsidRPr="006F2452" w:rsidRDefault="00165820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4D5D53" w:rsidRPr="004D5D53" w:rsidRDefault="00165820" w:rsidP="00EE053A">
      <w:pPr>
        <w:jc w:val="right"/>
        <w:rPr>
          <w:rFonts w:ascii="TH SarabunPSK" w:hAnsi="TH SarabunPSK" w:cs="TH SarabunPSK"/>
          <w:sz w:val="32"/>
          <w:szCs w:val="32"/>
        </w:rPr>
      </w:pPr>
      <w:r>
        <w:br w:type="page"/>
      </w:r>
      <w:r w:rsidR="004D5D53"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2085"/>
        </w:trPr>
        <w:tc>
          <w:tcPr>
            <w:tcW w:w="382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165820" w:rsidRPr="006F245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165820" w:rsidRPr="009062DE" w:rsidTr="00CD15CB">
        <w:trPr>
          <w:trHeight w:val="69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ปัญหาดังกล่าวโดยเร็วและเหมาะสมหรือไม่  และดำเนินการแก้ไขอย่างไร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ข้อร้องเรียนของประชาชน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ผลสำเร็จของการแก้ไขปัญหา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หนังสือแจ้งถึงผู้ร้องให้ทราบ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 1 มกราคม 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ว่าถนนเข้าหมู่บ้านไม่มีไฟทางสาธารณะและหญ้ารกอาจก่อให้เกิดปัญหาอาชญากรรมขึ้นได้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165820" w:rsidRPr="009062DE" w:rsidTr="00CD15CB">
        <w:trPr>
          <w:trHeight w:val="276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165820" w:rsidRPr="00AC2EF3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CD15CB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เด่นหรือสำคัญของ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ที่ได้ตกลงไว้กับคณะกรรมการจังหวัด  โดยโครงการที่เสนอต้องเป็นโครงการดีเด่นหรือมีความสำคัญและมีลักษณะเป็นไปตามหลักเกณฑ์การบริหารจัดการ</w:t>
            </w:r>
          </w:p>
          <w:p w:rsidR="00165820" w:rsidRPr="009062DE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และมีความยั่งยืนต่อเนื่อง  สำหรับเกณฑ์การประเมินเป็นไปตามที่กำหนด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92"/>
        <w:gridCol w:w="1018"/>
        <w:gridCol w:w="818"/>
        <w:gridCol w:w="106"/>
        <w:gridCol w:w="3897"/>
      </w:tblGrid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24" w:type="dxa"/>
            <w:gridSpan w:val="2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89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8954"/>
        </w:trPr>
        <w:tc>
          <w:tcPr>
            <w:tcW w:w="4192" w:type="dxa"/>
            <w:tcBorders>
              <w:bottom w:val="single" w:sz="4" w:space="0" w:color="auto"/>
            </w:tcBorders>
          </w:tcPr>
          <w:p w:rsidR="00CD15CB" w:rsidRDefault="00CD15CB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165820" w:rsidRPr="009363C1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พัฒนาต่อยอดขึ้นใหม่ ซึ่งมีลักษณะแตกต่างไปจากการดำเนินงานของ อปท. อื่นในจังหวัด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 เพื่อให้บรรลุวัตถุประสงค์ของโครงการ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เป็นโครงการที่สามารถเป็นต้นแบบให้กับ อปท. หน่วยงาน/องค์กร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แผนพัฒนาสามปี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 ของชุมชน หรือภาคประชาชน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หลักฐานการจดทะเบียนสิทธิบัตรหรือทรัพย์สินทางปัญญา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 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ใบแสดงการรับรางวัล</w:t>
            </w:r>
          </w:p>
        </w:tc>
      </w:tr>
      <w:tr w:rsidR="00165820" w:rsidRPr="009062DE" w:rsidTr="00CD15CB">
        <w:trPr>
          <w:trHeight w:val="600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5 ข้อขึ้นไป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4C096D" w:rsidRDefault="00165820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</w:t>
            </w:r>
          </w:p>
          <w:p w:rsidR="00165820" w:rsidRPr="009062DE" w:rsidRDefault="004C096D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ในการดำเนินงาน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165820" w:rsidRPr="00666034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ต้องทำความตกลงหรือขอความร่วมมือกับประชาชนหน่วยงานอื่น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มีการออกข้อบัญญัติท้องถิ่นเพื่อให้สามารถดำเนินโครงการได้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ต้องบริหารโครงการภายใต้ข้อจำกัดงบประมาณ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165820" w:rsidRPr="009062DE" w:rsidRDefault="00165820" w:rsidP="00AA4B1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003" w:type="dxa"/>
            <w:gridSpan w:val="2"/>
            <w:vAlign w:val="center"/>
          </w:tcPr>
          <w:p w:rsidR="00165820" w:rsidRPr="009062DE" w:rsidRDefault="00AA4B1A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9A5BD4" wp14:editId="59C1B8B8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-466090</wp:posOffset>
                      </wp:positionV>
                      <wp:extent cx="542925" cy="344805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1694" w:rsidRPr="004D5D53" w:rsidRDefault="00211694" w:rsidP="004D5D5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54.75pt;margin-top:-36.7pt;width:42.7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bQAIAAHgEAAAOAAAAZHJzL2Uyb0RvYy54bWysVFFv2jAQfp+0/2D5fSTQwNqIUDEqpklV&#10;WwmmPhvHJpEcn2cbEvbrd3YCZd2epr2Y893l83333TG/7xpFjsK6GnRBx6OUEqE5lLXeF/T7dv3p&#10;lhLnmS6ZAi0KehKO3i8+fpi3JhcTqECVwhIE0S5vTUEr702eJI5XomFuBEZoDEqwDfN4tfuktKxF&#10;9EYlkzSdJS3Y0ljgwjn0PvRBuoj4Ugrun6V0whNVUKzNx9PGcxfOZDFn+d4yU9V8KIP9QxUNqzU+&#10;eoF6YJ6Rg63/gGpqbsGB9CMOTQJS1lxEDshmnL5js6mYEZELNseZS5vc/4PlT8cXS+qyoDNKNGtQ&#10;oq3oPPkCHZmF7rTG5Zi0MZjmO3Sjyme/Q2cg3UnbhF+kQzCOfT5dehvAODqn2eRuMqWEY+gmy27T&#10;aUBJ3j421vmvAhoSjIJalC52lB0fne9TzynhLQeqLte1UvESxkWslCVHhkIrH0tE8N+ylCYt8ryZ&#10;phFYQ/i8R1YaawlUe0rB8t2uG/jvoDwhfQv9+DjD1zUW+cicf2EW5wUZ4w74ZzykAnwEBouSCuzP&#10;v/lDPsqIUUpanL+Cuh8HZgUl6ptGge/GWRYGNl6y6ecJXux1ZHcd0YdmBch8jNtmeDRDvldnU1po&#10;XnFVluFVDDHN8e2C+rO58v1W4KpxsVzGJBxRw/yj3hgeoEOngwTb7pVZM+jkUeAnOE8qy9/J1eeG&#10;LzUsDx5kHbUMDe67OvQdxztOw7CKYX+u7zHr7Q9j8QsAAP//AwBQSwMEFAAGAAgAAAAhAFnkCA3i&#10;AAAACwEAAA8AAABkcnMvZG93bnJldi54bWxMj01PhDAQhu8m/odmTLyY3YKIK0jZGONH4s3Fj3jr&#10;0hGIdEpoF/DfO570ODNP3nneYrvYXkw4+s6RgngdgUCqnemoUfBS3a+uQPigyejeESr4Rg/b8vio&#10;0LlxMz3jtAuN4BDyuVbQhjDkUvq6Rav92g1IfPt0o9WBx7GRZtQzh9tenkfRpbS6I/7Q6gFvW6y/&#10;dger4OOseX/yy8PrnKTJcPc4VZs3Uyl1erLcXIMIuIQ/GH71WR1Kdtq7AxkvegVJlKWMKlhtkgsQ&#10;TCRZyu32vImzGGRZyP8dyh8AAAD//wMAUEsBAi0AFAAGAAgAAAAhALaDOJL+AAAA4QEAABMAAAAA&#10;AAAAAAAAAAAAAAAAAFtDb250ZW50X1R5cGVzXS54bWxQSwECLQAUAAYACAAAACEAOP0h/9YAAACU&#10;AQAACwAAAAAAAAAAAAAAAAAvAQAAX3JlbHMvLnJlbHNQSwECLQAUAAYACAAAACEA2XhiG0ACAAB4&#10;BAAADgAAAAAAAAAAAAAAAAAuAgAAZHJzL2Uyb0RvYy54bWxQSwECLQAUAAYACAAAACEAWeQIDeIA&#10;AAALAQAADwAAAAAAAAAAAAAAAACaBAAAZHJzL2Rvd25yZXYueG1sUEsFBgAAAAAEAAQA8wAAAKkF&#10;AAAAAA==&#10;" fillcolor="white [3201]" stroked="f" strokeweight=".5pt">
                      <v:textbox>
                        <w:txbxContent>
                          <w:p w:rsidR="00211694" w:rsidRPr="004D5D53" w:rsidRDefault="00211694" w:rsidP="004D5D5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568"/>
        </w:trPr>
        <w:tc>
          <w:tcPr>
            <w:tcW w:w="41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บันทึกความร่วมมือ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ข้อบัญญัติท้องถิ่น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รายงานผลกระทบสิ่งแวดล้อม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ผู้รับผิดชอบโครงการ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</w:t>
            </w:r>
          </w:p>
        </w:tc>
      </w:tr>
      <w:tr w:rsidR="00165820" w:rsidRPr="009062DE" w:rsidTr="00CD15CB">
        <w:trPr>
          <w:trHeight w:val="4101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ประโยชน์เกินกว่าร้อยละ 90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รายชื่อผู้เข้าร่วมตามกลุ่มเป้าหมายหรือประชาชนผู้ได้รับประโยชน์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การยืนยันข้อมูลจากผู้นำท้องถิ่น กำนัน ผู้ใหญ่บ้าน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ผลลัพธ์ของโครงการ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165820" w:rsidRPr="009062DE" w:rsidTr="00CD15CB">
        <w:trPr>
          <w:trHeight w:val="3819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การประเมินความพึงพอใจของประชาชนต่อการดำเนินโครงการ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โครงการไม่น้อยกว่าร้อยละ 90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รายงานผลการประเมินความพึงพอใจ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38"/>
        <w:gridCol w:w="962"/>
        <w:gridCol w:w="818"/>
        <w:gridCol w:w="4113"/>
      </w:tblGrid>
      <w:tr w:rsidR="00165820" w:rsidRPr="009062DE" w:rsidTr="00CD15CB">
        <w:tc>
          <w:tcPr>
            <w:tcW w:w="413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11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480"/>
        </w:trPr>
        <w:tc>
          <w:tcPr>
            <w:tcW w:w="413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3 เรื่องขึ้นไป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ไม่มีการนำผลการประเมินไปปรับปรุง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ข้อเสนอแนะและปัญหาในการดำเนินโครงการ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5820" w:rsidRPr="009062DE" w:rsidTr="006545E4">
        <w:trPr>
          <w:trHeight w:val="3104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มีการขยายผลหรือเป็นวิทยากรถ่ายทอดองค์ความรู้สู่ อปท.อื่น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นำ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ไปปรับใช้ตามความเหมาะสม</w:t>
            </w:r>
          </w:p>
          <w:p w:rsidR="006545E4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มีช่องทางเผยแพร่ประชาสัมพันธ์ผลงาน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องค์ความรู้ต่อสาธารณะ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ไม่มีการแลกเปลี่ยนเรียนรู้กับ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อปท.อื่น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เผยแพร่ผลงานทางวิทยุ  โทรทัศน์  เว็ปไซด์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หนังสือขออนุญาตศึกษาดูงานจากหน่วยงานอื่น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หนังสือเชิญเป็นวิทยากรบรรยายถ่ายทอดความรู้</w:t>
            </w:r>
          </w:p>
        </w:tc>
      </w:tr>
      <w:tr w:rsidR="00165820" w:rsidRPr="009062DE" w:rsidTr="006545E4">
        <w:trPr>
          <w:trHeight w:val="3814"/>
        </w:trPr>
        <w:tc>
          <w:tcPr>
            <w:tcW w:w="413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       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มีเครือข่ายพหุภาคี (ภาคประชาชน/        หน่วยงาน/องค์กร)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เพื่อดำเนินโครงการระหว่างพื้นที่อย่างต่อเนื่องเป็นรูปธรรม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มีความร่วมมือระหว่างประชาชน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หน่วยงาน/องค์กรต่างพื้นที่ อปท. และมีความต่อเนื่อง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ไม่มีความร่วมมือ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4C096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รายชื่อเครือข่ายหน่วยงานหรือองค์กร</w:t>
            </w:r>
          </w:p>
          <w:p w:rsidR="00165820" w:rsidRPr="009062DE" w:rsidRDefault="004C096D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61236C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743"/>
      </w:tblGrid>
      <w:tr w:rsidR="00165820" w:rsidRPr="009062DE" w:rsidTr="00CD15CB">
        <w:tc>
          <w:tcPr>
            <w:tcW w:w="425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74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6545E4">
        <w:trPr>
          <w:trHeight w:val="5464"/>
        </w:trPr>
        <w:tc>
          <w:tcPr>
            <w:tcW w:w="4253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โครงการและรายละเอียดเป้าหมาย</w:t>
            </w:r>
          </w:p>
        </w:tc>
      </w:tr>
      <w:tr w:rsidR="00165820" w:rsidRPr="009062DE" w:rsidTr="00CD15CB">
        <w:trPr>
          <w:trHeight w:val="40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3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2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1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คำสั่งมอบหมายผู้รับผิดชอบหรือหน่วยงาน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เป็นศูนย์เผยแพร่การเรียนรู้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</w:tbl>
    <w:p w:rsidR="004D5D53" w:rsidRDefault="004D5D53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919"/>
      </w:tblGrid>
      <w:tr w:rsidR="004D5D53" w:rsidRPr="009062DE" w:rsidTr="00CD15CB">
        <w:tc>
          <w:tcPr>
            <w:tcW w:w="4253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919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D5D53" w:rsidRPr="009062DE" w:rsidTr="00CD15CB">
        <w:trPr>
          <w:trHeight w:val="225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เพื่อประกอบการตัดสินใจ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อปท.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4D5D53" w:rsidRPr="003D3A36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รายงานการประชุมเวทีประชาชน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หนังสือเชิญชวนประชาชนเข้าร่วมโครงการ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ทางเว็บไซด์ของหน่วยงาน เสียงตามสาย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5D53" w:rsidRPr="009062DE" w:rsidTr="00CD15CB">
        <w:trPr>
          <w:trHeight w:val="3156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ณะกรรมการ)</w:t>
            </w: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5"/>
        <w:gridCol w:w="436"/>
      </w:tblGrid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BA144D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</w:tr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4819"/>
      </w:tblGrid>
      <w:tr w:rsidR="00BA144D" w:rsidRPr="009062DE" w:rsidTr="00BA144D">
        <w:tc>
          <w:tcPr>
            <w:tcW w:w="38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81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A144D" w:rsidRPr="009062DE" w:rsidTr="00BA144D">
        <w:trPr>
          <w:trHeight w:val="5087"/>
        </w:trPr>
        <w:tc>
          <w:tcPr>
            <w:tcW w:w="382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อปท. ต้องดำเนินการ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>บั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นทึกข้อมูลด้านพลังงานผ่าน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Report.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ตรวจสอบการบันทึกข้อมูลในระบบว่า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ใบเสร็จรับเงินค่าไฟฟ้า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F4EEA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ของปริมาณการใช้ไฟฟ้ามาตรฐาน)-ปริมาณการใช้ไฟฟ้าจริง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D8497A" wp14:editId="3F87B6F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8850583" id="AutoShape 154" o:spid="_x0000_s1026" type="#_x0000_t32" style="position:absolute;margin-left:12.4pt;margin-top:-.15pt;width:221.1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j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0j&#10;JHEHM3o8OBVSo3Sa+Q712ubgWMqd8TWSk3zRT4p8s0iqssWyYcH99awhOvUR8ZsQv7Ea8uz7z4qC&#10;D4YMoV2n2nSoFlx/8oEeHFqCTmE+59t82MkhAh8ni2S+nMMYyfUsxrmH8IHaWPeRqQ55o4isM5g3&#10;rSuVlKACZQZ4fHyyzhP8FeCDpdpyIYIYhER9ES2nk2ngY5Xg1B96N2uafSkMOmIvp/CEauHk3s2o&#10;g6QBrGWYbi62w1wMNiQX0uNBYUDnYg16+b5MlpvFZpGNsslsM8qSqho9bstsNNum82n1oSrLKv3h&#10;qaVZ3nJKmfTsrtpNs7/TxuUWDaq7qffWhvgteugXkL2+A+kwYz/WQSB7Rc87c509yDU4X66Wvw/3&#10;e7DvfwDrnwAAAP//AwBQSwMEFAAGAAgAAAAhAI6WkJnbAAAABgEAAA8AAABkcnMvZG93bnJldi54&#10;bWxMj0FLw0AUhO8F/8PyBG/txjakJWZTRGjxIIFWvW+zzySafZtmt0n673160eMww8w32XayrRiw&#10;940jBfeLCARS6UxDlYK31918A8IHTUa3jlDBFT1s85tZplPjRjrgcAyV4BLyqVZQh9ClUvqyRqv9&#10;wnVI7H243urAsq+k6fXI5baVyyhKpNUN8UKtO3yqsfw6XqyCM62v77EcNp9FEZL980tFWIxK3d1O&#10;jw8gAk7hLww/+IwOOTOd3IWMF62CZczkQcF8BYLtOFnztdOvlnkm/+Pn3wAAAP//AwBQSwECLQAU&#10;AAYACAAAACEAtoM4kv4AAADhAQAAEwAAAAAAAAAAAAAAAAAAAAAAW0NvbnRlbnRfVHlwZXNdLnht&#10;bFBLAQItABQABgAIAAAAIQA4/SH/1gAAAJQBAAALAAAAAAAAAAAAAAAAAC8BAABfcmVscy8ucmVs&#10;c1BLAQItABQABgAIAAAAIQBe9g9jKAIAAEgEAAAOAAAAAAAAAAAAAAAAAC4CAABkcnMvZTJvRG9j&#10;LnhtbFBLAQItABQABgAIAAAAIQCOlpCZ2wAAAAYBAAAPAAAAAAAAAAAAAAAAAIIEAABkcnMvZG93&#10;bnJldi54bWxQSwUGAAAAAAQABADzAAAAigUAAAAA&#10;"/>
                  </w:pict>
                </mc:Fallback>
              </mc:AlternateConten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ปริมาณการใช้ไฟฟ้าจริง</w:t>
            </w:r>
          </w:p>
        </w:tc>
      </w:tr>
      <w:tr w:rsidR="00BA144D" w:rsidRPr="009062DE" w:rsidTr="006545E4">
        <w:trPr>
          <w:trHeight w:val="30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15 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ก.ย.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เสนอสภาท้องถิ่นหลังวันที่ 15 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หนังสือยื่นเสนอญัตติ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</w:tc>
      </w:tr>
      <w:tr w:rsidR="00BA144D" w:rsidRPr="009062DE" w:rsidTr="00BA144D">
        <w:trPr>
          <w:trHeight w:val="31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165820" w:rsidRDefault="00165820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BA144D" w:rsidRPr="00BA144D" w:rsidRDefault="00BA144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81"/>
        <w:gridCol w:w="959"/>
        <w:gridCol w:w="960"/>
        <w:gridCol w:w="4289"/>
      </w:tblGrid>
      <w:tr w:rsidR="00165820" w:rsidRPr="009062DE" w:rsidTr="00CD15CB">
        <w:tc>
          <w:tcPr>
            <w:tcW w:w="368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157"/>
        </w:trPr>
        <w:tc>
          <w:tcPr>
            <w:tcW w:w="368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</w:tc>
      </w:tr>
      <w:tr w:rsidR="00165820" w:rsidRPr="009062DE" w:rsidTr="00CD15CB">
        <w:trPr>
          <w:trHeight w:val="4223"/>
        </w:trPr>
        <w:tc>
          <w:tcPr>
            <w:tcW w:w="368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มีการบันทึกข้อมูลครบถ้วนและจัดทำย้อนหลังไม่เกิน  6  เดือน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อปท.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รายงานหรือเอกสารที่พิมพ์จากระบบ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โปรแกรม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7"/>
        <w:gridCol w:w="434"/>
      </w:tblGrid>
      <w:tr w:rsidR="00165820" w:rsidRPr="009062DE" w:rsidTr="00BA144D">
        <w:trPr>
          <w:trHeight w:val="352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165820" w:rsidRPr="009062DE" w:rsidTr="00BA144D">
        <w:trPr>
          <w:trHeight w:val="374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4502"/>
      </w:tblGrid>
      <w:tr w:rsidR="00165820" w:rsidRPr="009062DE" w:rsidTr="00BA144D">
        <w:tc>
          <w:tcPr>
            <w:tcW w:w="3544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50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A144D">
        <w:trPr>
          <w:trHeight w:val="5715"/>
        </w:trPr>
        <w:tc>
          <w:tcPr>
            <w:tcW w:w="354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591D78" w:rsidRDefault="00165820" w:rsidP="00165820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591D78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  ตลอดจนการเชื่อมโยงเชื่อมกับวิสัยทัศน์ พันธกิจขององค์กร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Learning  Organization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จากการชี้แจง หรืออธิบายขั้นตอนการจัดทำจากผู้รับผิดชอบ</w:t>
            </w:r>
          </w:p>
        </w:tc>
      </w:tr>
      <w:tr w:rsidR="00165820" w:rsidRPr="009062DE" w:rsidTr="00BA144D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 แต่ยังไม่</w:t>
            </w:r>
            <w:r w:rsidR="00591D78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พิจารณาจากผลสำเร็จของการจัดทำแผนอัตรากำลัง 3 ปี  ดังนี้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มีการดำเนินการตามแผนอัตรากำลัง 3 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มีการวิเคราะห์ค่างาน และจัดทำคำบรรยายลักษณะงาน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มีการกำหนดสมรรถนะ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มีการวิเคราะห์ผลผลิตประสิทธิภาพ(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มีการสำรวจและปรับปรุงสวัสดิการในองค์กร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มีการพัฒนาเครื่องมือประเมินผลการปฏิบัติราชการประจำปี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มีการวางแผนความก้าวหน้าในสายอาชีพ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สวัสดิการภายในองค์กรนอกเหนือจากของทางราชการ</w:t>
            </w:r>
          </w:p>
          <w:p w:rsidR="00165820" w:rsidRPr="009062DE" w:rsidRDefault="00165820" w:rsidP="00BA144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</w:tc>
      </w:tr>
    </w:tbl>
    <w:p w:rsidR="00165820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7"/>
        <w:gridCol w:w="959"/>
        <w:gridCol w:w="960"/>
        <w:gridCol w:w="4303"/>
      </w:tblGrid>
      <w:tr w:rsidR="00165820" w:rsidRPr="009062DE" w:rsidTr="00EB177D">
        <w:tc>
          <w:tcPr>
            <w:tcW w:w="366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EB177D">
        <w:trPr>
          <w:trHeight w:val="5322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มีการพัฒนาปรับปรุงระบบบริหารทรัพยากรบุคคลของ อปท. แต่ไม่ครบถ้วนตามหลักเกณฑ์ที่กำหนดไว้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จากการชี้แจงหรืออธิบายจากผู้รับผิดชอบ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ข้อมูลสำรวจความต้องการฝึกอบรม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</w:tc>
      </w:tr>
      <w:tr w:rsidR="00165820" w:rsidRPr="009062DE" w:rsidTr="00EB177D">
        <w:trPr>
          <w:trHeight w:val="1401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บุคคลของ อปท.ครบถ้วน 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 แต่ไม่ครบถ้วนตาม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165820" w:rsidRPr="009062DE" w:rsidRDefault="00165820" w:rsidP="00165820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959"/>
        <w:gridCol w:w="960"/>
        <w:gridCol w:w="4316"/>
      </w:tblGrid>
      <w:tr w:rsidR="00165820" w:rsidRPr="009062DE" w:rsidTr="00165820">
        <w:tc>
          <w:tcPr>
            <w:tcW w:w="354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มีระบบครบถ้วนตามหลักเกณฑ์ที่กำหนด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มีระบบสนับสนุนการบริหารจัดการองค์กรแต่ไม่ครบถ้วนตามหลักเกณฑ์</w:t>
            </w:r>
          </w:p>
          <w:p w:rsidR="00165820" w:rsidRPr="009062DE" w:rsidRDefault="00165820" w:rsidP="00EB177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ไม่มีระบบที่สนับสนุนการบริหารจัดการองค์กร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545E4" w:rsidRDefault="006545E4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20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541"/>
        <w:gridCol w:w="960"/>
        <w:gridCol w:w="961"/>
        <w:gridCol w:w="4286"/>
      </w:tblGrid>
      <w:tr w:rsidR="00165820" w:rsidRPr="009062DE" w:rsidTr="007B5EE4">
        <w:trPr>
          <w:trHeight w:val="526"/>
        </w:trPr>
        <w:tc>
          <w:tcPr>
            <w:tcW w:w="354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165820" w:rsidRPr="009062DE" w:rsidTr="007B5EE4">
        <w:trPr>
          <w:trHeight w:val="2556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และจัดอย่างเป็นระบบ</w:t>
            </w:r>
          </w:p>
          <w:p w:rsid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อย่างเป็นระบบ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165820" w:rsidRPr="00D7511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 อปท.ดำเนินการจัดทำโครงการลดขั้นตอนการทำงานหรือปรับปรุงการทำงาน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เสนอต่อนายก อปท. เห็นชอบ และประเมินผลตามตัวชี้วัด ดังนี้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165820" w:rsidRPr="009062DE" w:rsidRDefault="00165820" w:rsidP="007B5E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7B5EE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</w:t>
            </w:r>
            <w:r w:rsidR="006545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7B5EE4" w:rsidRDefault="007B5EE4" w:rsidP="00165820">
      <w:pPr>
        <w:rPr>
          <w:rFonts w:ascii="TH SarabunPSK" w:hAnsi="TH SarabunPSK" w:cs="TH SarabunPSK"/>
          <w:sz w:val="32"/>
          <w:szCs w:val="32"/>
        </w:rPr>
      </w:pPr>
    </w:p>
    <w:p w:rsidR="007B5EE4" w:rsidRPr="007B5EE4" w:rsidRDefault="007B5EE4" w:rsidP="007B5EE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21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2"/>
        <w:gridCol w:w="959"/>
        <w:gridCol w:w="960"/>
        <w:gridCol w:w="4308"/>
      </w:tblGrid>
      <w:tr w:rsidR="00165820" w:rsidRPr="009062DE" w:rsidTr="007B5EE4">
        <w:trPr>
          <w:trHeight w:val="879"/>
        </w:trPr>
        <w:tc>
          <w:tcPr>
            <w:tcW w:w="36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FC271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7B5EE4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นวน  5 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1 - 4 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904BA9" w:rsidP="0016582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832647" wp14:editId="466057FF">
                <wp:simplePos x="0" y="0"/>
                <wp:positionH relativeFrom="column">
                  <wp:posOffset>4181559</wp:posOffset>
                </wp:positionH>
                <wp:positionV relativeFrom="paragraph">
                  <wp:posOffset>-91237</wp:posOffset>
                </wp:positionV>
                <wp:extent cx="1716657" cy="405441"/>
                <wp:effectExtent l="0" t="0" r="1714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1694" w:rsidRPr="00904BA9" w:rsidRDefault="00211694" w:rsidP="00904B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940A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สรุปการ</w:t>
                            </w: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29.25pt;margin-top:-7.2pt;width:135.15pt;height:3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6bTAIAAKgEAAAOAAAAZHJzL2Uyb0RvYy54bWysVEuP2jAQvlfqf7B8LwmURxsRVpQVVSW0&#10;uxJUezaOTaI6Htc2JPTXd+wElt32VPXizMvfeL6ZyfyurRU5Cesq0DkdDlJKhOZQVPqQ0++79YdP&#10;lDjPdMEUaJHTs3D0bvH+3bwxmRhBCaoQliCIdlljclp6b7IkcbwUNXMDMEKjU4KtmUfVHpLCsgbR&#10;a5WM0nSaNGALY4EL59B63znpIuJLKbh/lNIJT1RO8W0+njae+3AmiznLDpaZsuL9M9g/vKJmlcak&#10;V6h75hk52uoPqLriFhxIP+BQJyBlxUWsAasZpm+q2ZbMiFgLkuPMlSb3/2D5w+nJkqrA3lGiWY0t&#10;2onWky/QkmFgpzEuw6CtwTDfojlE9naHxlB0K20dvlgOQT/yfL5yG8B4uDQbTqeTGSUcfeN0Mh5H&#10;mOTltrHOfxVQkyDk1GLvIqXstHEeM2LoJSQkc6CqYl0pFZUwL2KlLDkx7LTyF/BXUUqTJqfTj5M0&#10;Ar/yBejr/b1i/EeoEnPeRKGmNBoDJ13tQfLtvu0Z7HnZQ3FGuix04+YMX1cIv2HOPzGL84UM4c74&#10;RzykAnwT9BIlJdhff7OHeGw7eilpcF5z6n4emRWUqG8aB+LzcDwOAx6V8WQ2QsXeeva3Hn2sV4BE&#10;YdPxdVEM8V5dRGmhfsbVWoas6GKaY+6c+ou48t0W4WpysVzGIBxpw/xGbw0P0KExgdZd+8ys6dvq&#10;cSAe4DLZLHvT3S423NSwPHqQVWx94Lljtacf1yF2p1/dsG+3eox6+cEsfgMAAP//AwBQSwMEFAAG&#10;AAgAAAAhACEOIrneAAAACgEAAA8AAABkcnMvZG93bnJldi54bWxMj8FOwzAQRO9I/IO1SNxap1Va&#10;OSGbClDhwokWcd7Grm0R21HspuHvMSc4rvZp5k2zm13PJjVGGzzCalkAU74L0nqN8HF8WQhgMZGX&#10;1AevEL5VhF17e9NQLcPVv6vpkDTLIT7WhGBSGmrOY2eUo7gMg/L5dw6jo5TPUXM50jWHu56vi2LL&#10;HVmfGwwN6tmo7utwcQj7J13pTtBo9kJaO82f5zf9inh/Nz8+AEtqTn8w/OpndWiz0ylcvIysR9hu&#10;xCajCItVWQLLRLUWecwJoaxK4G3D/09ofwAAAP//AwBQSwECLQAUAAYACAAAACEAtoM4kv4AAADh&#10;AQAAEwAAAAAAAAAAAAAAAAAAAAAAW0NvbnRlbnRfVHlwZXNdLnhtbFBLAQItABQABgAIAAAAIQA4&#10;/SH/1gAAAJQBAAALAAAAAAAAAAAAAAAAAC8BAABfcmVscy8ucmVsc1BLAQItABQABgAIAAAAIQD4&#10;vO6bTAIAAKgEAAAOAAAAAAAAAAAAAAAAAC4CAABkcnMvZTJvRG9jLnhtbFBLAQItABQABgAIAAAA&#10;IQAhDiK53gAAAAoBAAAPAAAAAAAAAAAAAAAAAKYEAABkcnMvZG93bnJldi54bWxQSwUGAAAAAAQA&#10;BADzAAAAsQUAAAAA&#10;" fillcolor="white [3201]" strokeweight=".5pt">
                <v:textbox>
                  <w:txbxContent>
                    <w:p w:rsidR="00211694" w:rsidRPr="00904BA9" w:rsidRDefault="00211694" w:rsidP="00904B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940A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สรุปการ</w:t>
                      </w: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กรอกคะแนน</w:t>
                      </w:r>
                    </w:p>
                  </w:txbxContent>
                </v:textbox>
              </v:shape>
            </w:pict>
          </mc:Fallback>
        </mc:AlternateContent>
      </w: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8"/>
        <w:gridCol w:w="3121"/>
        <w:gridCol w:w="3121"/>
      </w:tblGrid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165820" w:rsidRPr="00480BF5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904BA9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รวมกัน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0192C">
        <w:rPr>
          <w:rFonts w:ascii="TH SarabunPSK" w:hAnsi="TH SarabunPSK" w:cs="TH SarabunPSK"/>
          <w:b/>
          <w:bCs/>
          <w:sz w:val="30"/>
          <w:szCs w:val="30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4"/>
        <w:gridCol w:w="4706"/>
      </w:tblGrid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165820" w:rsidRPr="00BE695B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0"/>
        <w:gridCol w:w="4019"/>
        <w:gridCol w:w="3141"/>
      </w:tblGrid>
      <w:tr w:rsidR="00165820" w:rsidTr="00165820">
        <w:tc>
          <w:tcPr>
            <w:tcW w:w="2518" w:type="dxa"/>
            <w:vMerge w:val="restart"/>
            <w:vAlign w:val="center"/>
          </w:tcPr>
          <w:p w:rsidR="00165820" w:rsidRPr="00386D7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165820" w:rsidTr="00165820">
        <w:tc>
          <w:tcPr>
            <w:tcW w:w="2518" w:type="dxa"/>
            <w:vMerge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2518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9062DE" w:rsidRDefault="00165820" w:rsidP="00165820">
      <w:pPr>
        <w:rPr>
          <w:rFonts w:ascii="TH SarabunPSK" w:hAnsi="TH SarabunPSK" w:cs="TH SarabunPSK"/>
          <w:sz w:val="30"/>
          <w:szCs w:val="30"/>
          <w:cs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08524A" w:rsidRDefault="0008524A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211694" w:rsidRDefault="00211694" w:rsidP="007F11B4">
      <w:pPr>
        <w:ind w:left="2160" w:firstLine="720"/>
        <w:rPr>
          <w:rFonts w:ascii="TH SarabunPSK" w:hAnsi="TH SarabunPSK" w:cs="TH SarabunPSK"/>
          <w:sz w:val="31"/>
          <w:szCs w:val="31"/>
          <w:cs/>
        </w:rPr>
        <w:sectPr w:rsidR="00211694" w:rsidSect="00283135">
          <w:pgSz w:w="11906" w:h="16838"/>
          <w:pgMar w:top="851" w:right="991" w:bottom="284" w:left="1701" w:header="709" w:footer="709" w:gutter="0"/>
          <w:cols w:space="708"/>
          <w:docGrid w:linePitch="360"/>
        </w:sectPr>
      </w:pPr>
    </w:p>
    <w:p w:rsidR="00211694" w:rsidRDefault="00211694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169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ตารางคะแนนสรุปผลการประเมินประสิทธิภาพและประสิทธิผลการปฏิบัติ</w:t>
      </w:r>
      <w:r w:rsidR="009554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 ประจำปีงบประมาณ พ.ศ. 2567</w:t>
      </w:r>
      <w:bookmarkStart w:id="0" w:name="_GoBack"/>
      <w:bookmarkEnd w:id="0"/>
    </w:p>
    <w:p w:rsidR="00211694" w:rsidRDefault="00211694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อำเภอ.........................................จังหวัดแพร่</w:t>
      </w:r>
    </w:p>
    <w:p w:rsidR="000E7242" w:rsidRDefault="000E7242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724"/>
        <w:gridCol w:w="1482"/>
        <w:gridCol w:w="419"/>
        <w:gridCol w:w="419"/>
        <w:gridCol w:w="419"/>
        <w:gridCol w:w="419"/>
        <w:gridCol w:w="419"/>
        <w:gridCol w:w="420"/>
        <w:gridCol w:w="697"/>
        <w:gridCol w:w="420"/>
        <w:gridCol w:w="420"/>
        <w:gridCol w:w="420"/>
        <w:gridCol w:w="420"/>
        <w:gridCol w:w="698"/>
        <w:gridCol w:w="420"/>
        <w:gridCol w:w="420"/>
        <w:gridCol w:w="420"/>
        <w:gridCol w:w="420"/>
        <w:gridCol w:w="420"/>
        <w:gridCol w:w="698"/>
        <w:gridCol w:w="420"/>
        <w:gridCol w:w="420"/>
        <w:gridCol w:w="420"/>
        <w:gridCol w:w="698"/>
        <w:gridCol w:w="1104"/>
        <w:gridCol w:w="1211"/>
        <w:gridCol w:w="834"/>
      </w:tblGrid>
      <w:tr w:rsidR="000E7242" w:rsidTr="000E7242">
        <w:tc>
          <w:tcPr>
            <w:tcW w:w="391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0490" w:type="dxa"/>
            <w:gridSpan w:val="22"/>
            <w:vAlign w:val="center"/>
          </w:tcPr>
          <w:p w:rsidR="000E7242" w:rsidRDefault="000E7242" w:rsidP="000E7242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คะแนนตามมิติและตัวชี้วัด (90 คะแนน)</w:t>
            </w:r>
          </w:p>
        </w:tc>
        <w:tc>
          <w:tcPr>
            <w:tcW w:w="1135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LPA</w:t>
            </w:r>
          </w:p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E72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10 </w:t>
            </w: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275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7242" w:rsidTr="000E7242">
        <w:tc>
          <w:tcPr>
            <w:tcW w:w="39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gridSpan w:val="6"/>
          </w:tcPr>
          <w:p w:rsidR="000E7242" w:rsidRP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1 (30 คะแนน)</w:t>
            </w:r>
          </w:p>
        </w:tc>
        <w:tc>
          <w:tcPr>
            <w:tcW w:w="708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4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2 (25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gridSpan w:val="5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3 (15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gridSpan w:val="3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มิติทึ่ 4 (20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11694" w:rsidRDefault="00211694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7242" w:rsidRDefault="000E7242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7242" w:rsidRDefault="000E7242" w:rsidP="000E724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ลงชื่อ................................................หัวหน้าคณะทำงาน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ลงชื่อ................................................คณะทำงาน</w:t>
      </w:r>
    </w:p>
    <w:p w:rsid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E7242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(..............................................)</w:t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(...............................................)</w:t>
      </w:r>
    </w:p>
    <w:p w:rsidR="000E7242" w:rsidRP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ท้องถิ่นอำเภอ.......................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ท้องถิ่นอำเภอ.......................</w:t>
      </w:r>
    </w:p>
    <w:p w:rsidR="000E7242" w:rsidRP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E7242" w:rsidRPr="000E7242" w:rsidRDefault="000E7242" w:rsidP="000E724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E7242" w:rsidRPr="00211694" w:rsidRDefault="000E7242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E7242" w:rsidRPr="00211694" w:rsidSect="000E7242">
      <w:pgSz w:w="16838" w:h="11906" w:orient="landscape"/>
      <w:pgMar w:top="1701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8B" w:rsidRDefault="0073368B" w:rsidP="002412BA">
      <w:r>
        <w:separator/>
      </w:r>
    </w:p>
  </w:endnote>
  <w:endnote w:type="continuationSeparator" w:id="0">
    <w:p w:rsidR="0073368B" w:rsidRDefault="0073368B" w:rsidP="002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8B" w:rsidRDefault="0073368B" w:rsidP="002412BA">
      <w:r>
        <w:separator/>
      </w:r>
    </w:p>
  </w:footnote>
  <w:footnote w:type="continuationSeparator" w:id="0">
    <w:p w:rsidR="0073368B" w:rsidRDefault="0073368B" w:rsidP="002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EB5F9F"/>
    <w:multiLevelType w:val="hybridMultilevel"/>
    <w:tmpl w:val="79C4F008"/>
    <w:lvl w:ilvl="0" w:tplc="B0E256B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A41AC"/>
    <w:multiLevelType w:val="hybridMultilevel"/>
    <w:tmpl w:val="D5A0F1D4"/>
    <w:lvl w:ilvl="0" w:tplc="FA5C2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3713C5"/>
    <w:multiLevelType w:val="hybridMultilevel"/>
    <w:tmpl w:val="13922ADE"/>
    <w:lvl w:ilvl="0" w:tplc="D3D8803C">
      <w:start w:val="2"/>
      <w:numFmt w:val="bullet"/>
      <w:lvlText w:val="-"/>
      <w:lvlJc w:val="left"/>
      <w:pPr>
        <w:ind w:left="4320" w:hanging="360"/>
      </w:pPr>
      <w:rPr>
        <w:rFonts w:ascii="TH SarabunIT๙" w:eastAsia="SimSun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65D3A91"/>
    <w:multiLevelType w:val="hybridMultilevel"/>
    <w:tmpl w:val="1B363700"/>
    <w:lvl w:ilvl="0" w:tplc="75C4852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58E7A28"/>
    <w:multiLevelType w:val="hybridMultilevel"/>
    <w:tmpl w:val="9C502DC6"/>
    <w:lvl w:ilvl="0" w:tplc="B6D49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6867939"/>
    <w:multiLevelType w:val="hybridMultilevel"/>
    <w:tmpl w:val="9EF6C544"/>
    <w:lvl w:ilvl="0" w:tplc="579C4DCA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2"/>
    <w:rsid w:val="0000192C"/>
    <w:rsid w:val="00052A2D"/>
    <w:rsid w:val="00057B5B"/>
    <w:rsid w:val="00076C1B"/>
    <w:rsid w:val="0008524A"/>
    <w:rsid w:val="000A1CD0"/>
    <w:rsid w:val="000C4D7E"/>
    <w:rsid w:val="000C5190"/>
    <w:rsid w:val="000D35F7"/>
    <w:rsid w:val="000E7242"/>
    <w:rsid w:val="0013088A"/>
    <w:rsid w:val="00165820"/>
    <w:rsid w:val="00182E0F"/>
    <w:rsid w:val="0018502D"/>
    <w:rsid w:val="001A43B2"/>
    <w:rsid w:val="001B2E58"/>
    <w:rsid w:val="00204C7B"/>
    <w:rsid w:val="00211694"/>
    <w:rsid w:val="00213673"/>
    <w:rsid w:val="002412BA"/>
    <w:rsid w:val="002429ED"/>
    <w:rsid w:val="00255611"/>
    <w:rsid w:val="00283135"/>
    <w:rsid w:val="002E31AD"/>
    <w:rsid w:val="002F34D4"/>
    <w:rsid w:val="00300103"/>
    <w:rsid w:val="00333B40"/>
    <w:rsid w:val="0038718C"/>
    <w:rsid w:val="003B1CED"/>
    <w:rsid w:val="003C2014"/>
    <w:rsid w:val="003C48A9"/>
    <w:rsid w:val="003C6840"/>
    <w:rsid w:val="00441931"/>
    <w:rsid w:val="004441CA"/>
    <w:rsid w:val="004712C8"/>
    <w:rsid w:val="004B0C50"/>
    <w:rsid w:val="004C096D"/>
    <w:rsid w:val="004C6552"/>
    <w:rsid w:val="004D5D53"/>
    <w:rsid w:val="00500EF6"/>
    <w:rsid w:val="00551C2B"/>
    <w:rsid w:val="00591D78"/>
    <w:rsid w:val="005A1401"/>
    <w:rsid w:val="005A7F4E"/>
    <w:rsid w:val="006229BD"/>
    <w:rsid w:val="00623ADF"/>
    <w:rsid w:val="006545E4"/>
    <w:rsid w:val="00670C66"/>
    <w:rsid w:val="006A4B38"/>
    <w:rsid w:val="006D6856"/>
    <w:rsid w:val="00722B0A"/>
    <w:rsid w:val="0073368B"/>
    <w:rsid w:val="0073627B"/>
    <w:rsid w:val="007546D3"/>
    <w:rsid w:val="00756B62"/>
    <w:rsid w:val="00792A0E"/>
    <w:rsid w:val="007A2F39"/>
    <w:rsid w:val="007B3FBB"/>
    <w:rsid w:val="007B48E7"/>
    <w:rsid w:val="007B5EE4"/>
    <w:rsid w:val="007C7200"/>
    <w:rsid w:val="007E3624"/>
    <w:rsid w:val="007E3869"/>
    <w:rsid w:val="007F11B4"/>
    <w:rsid w:val="00845AF5"/>
    <w:rsid w:val="00877D90"/>
    <w:rsid w:val="00890CC6"/>
    <w:rsid w:val="00893408"/>
    <w:rsid w:val="00893E9D"/>
    <w:rsid w:val="008B643C"/>
    <w:rsid w:val="00904BA9"/>
    <w:rsid w:val="00940AF5"/>
    <w:rsid w:val="009548EF"/>
    <w:rsid w:val="009554A9"/>
    <w:rsid w:val="009C78C9"/>
    <w:rsid w:val="00A05304"/>
    <w:rsid w:val="00A23633"/>
    <w:rsid w:val="00A44713"/>
    <w:rsid w:val="00A451CF"/>
    <w:rsid w:val="00A468B8"/>
    <w:rsid w:val="00A828B4"/>
    <w:rsid w:val="00AA4B1A"/>
    <w:rsid w:val="00AA5043"/>
    <w:rsid w:val="00AA517A"/>
    <w:rsid w:val="00AD09CD"/>
    <w:rsid w:val="00B02932"/>
    <w:rsid w:val="00B31FD7"/>
    <w:rsid w:val="00B55935"/>
    <w:rsid w:val="00B70E4D"/>
    <w:rsid w:val="00B7131B"/>
    <w:rsid w:val="00BA0125"/>
    <w:rsid w:val="00BA144D"/>
    <w:rsid w:val="00BD5969"/>
    <w:rsid w:val="00BE487B"/>
    <w:rsid w:val="00C11F81"/>
    <w:rsid w:val="00C34AE9"/>
    <w:rsid w:val="00CA31E3"/>
    <w:rsid w:val="00CC39FB"/>
    <w:rsid w:val="00CD15CB"/>
    <w:rsid w:val="00CD7A47"/>
    <w:rsid w:val="00CE4531"/>
    <w:rsid w:val="00CF41BA"/>
    <w:rsid w:val="00D00F77"/>
    <w:rsid w:val="00D17163"/>
    <w:rsid w:val="00D178B4"/>
    <w:rsid w:val="00D358B0"/>
    <w:rsid w:val="00D70D93"/>
    <w:rsid w:val="00DB4891"/>
    <w:rsid w:val="00DD6208"/>
    <w:rsid w:val="00EB177D"/>
    <w:rsid w:val="00ED7BCC"/>
    <w:rsid w:val="00EE053A"/>
    <w:rsid w:val="00EF05CC"/>
    <w:rsid w:val="00EF507D"/>
    <w:rsid w:val="00F31B31"/>
    <w:rsid w:val="00F408D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7106-D228-40D1-B1F7-77F93D6E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2</cp:revision>
  <cp:lastPrinted>2023-10-10T07:19:00Z</cp:lastPrinted>
  <dcterms:created xsi:type="dcterms:W3CDTF">2024-10-18T07:47:00Z</dcterms:created>
  <dcterms:modified xsi:type="dcterms:W3CDTF">2024-10-18T07:47:00Z</dcterms:modified>
</cp:coreProperties>
</file>